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/>
            </w:pPr>
            <w:r>
              <w:rPr>
                <w:rFonts w:cs="Arial" w:ascii="Arial" w:hAnsi="Arial"/>
                <w:b/>
              </w:rPr>
              <w:t xml:space="preserve">EMITER                                                                                                   </w:t>
            </w:r>
            <w:r>
              <w:rPr/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typu: </w:t>
      </w:r>
      <w:r>
        <w:rPr>
          <w:rFonts w:cs="Arial" w:ascii="Arial" w:hAnsi="Arial"/>
          <w:b/>
          <w:sz w:val="32"/>
          <w:szCs w:val="32"/>
        </w:rPr>
        <w:t xml:space="preserve">ETSI 25-48 1000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spacing w:lineRule="auto" w:line="288"/>
        <w:jc w:val="center"/>
        <w:rPr/>
      </w:pPr>
      <w:r>
        <w:rPr>
          <w:rFonts w:cs="Arial" w:ascii="Arial" w:hAnsi="Arial"/>
          <w:b/>
          <w:i/>
          <w:sz w:val="36"/>
          <w:szCs w:val="36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/>
            </w:pPr>
            <w:r>
              <w:rPr>
                <w:rFonts w:cs="Arial" w:ascii="Arial" w:hAnsi="Arial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</w:rPr>
              <w:t>ETSI 25-48 1000 kVA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……………</w:t>
            </w:r>
            <w:r>
              <w:rPr/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</w:rPr>
            </w:pPr>
            <w:r>
              <w:rPr>
                <w:rFonts w:cs="Arial" w:ascii="Arial" w:hAnsi="Arial"/>
                <w:b/>
                <w:i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dz. Nr.: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/>
            </w:pPr>
            <w:r>
              <w:rPr>
                <w:rFonts w:cs="Arial" w:ascii="Arial" w:hAnsi="Arial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</w:t>
            </w: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Elektryczna: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Arial" w:hAnsi="Arial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</w:t>
            </w: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Budowlana: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/>
            </w:pPr>
            <w:r>
              <w:rPr>
                <w:rFonts w:cs="Arial" w:ascii="Arial" w:hAnsi="Arial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/>
      </w:pPr>
      <w:r>
        <w:rPr/>
      </w:r>
    </w:p>
    <w:p>
      <w:pPr>
        <w:pStyle w:val="Normal"/>
        <w:spacing w:lineRule="auto" w:line="360"/>
        <w:ind w:hanging="0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/>
          </w:pPr>
          <w:bookmarkStart w:id="0" w:name="_Toc109201578"/>
          <w:r>
            <w:rPr>
              <w:rFonts w:ascii="Times New Roman" w:hAnsi="Times New Roman"/>
              <w:color w:val="00000A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r>
            <w:fldChar w:fldCharType="begin"/>
          </w:r>
          <w:r>
            <w:rPr>
              <w:webHidden/>
              <w:rStyle w:val="czeindeksu"/>
            </w:rPr>
            <w:instrText xml:space="preserve"> TOC \z \u \t "Nagłówek 31,3,Nagłówek 11,1" \h</w:instrText>
          </w:r>
          <w:r>
            <w:rPr>
              <w:webHidden/>
              <w:rStyle w:val="czeindeksu"/>
            </w:rPr>
            <w:fldChar w:fldCharType="separate"/>
          </w:r>
          <w:hyperlink w:anchor="_Toc109201578">
            <w:r>
              <w:rPr>
                <w:webHidden/>
                <w:rStyle w:val="czeindeksu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79">
            <w:r>
              <w:rPr>
                <w:webHidden/>
                <w:rStyle w:val="czeindeksu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0">
            <w:r>
              <w:rPr>
                <w:webHidden/>
                <w:rStyle w:val="czeindeksu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1">
            <w:r>
              <w:rPr>
                <w:webHidden/>
                <w:rStyle w:val="czeindeksu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2">
            <w:r>
              <w:rPr>
                <w:webHidden/>
                <w:rStyle w:val="czeindeksu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3">
            <w:r>
              <w:rPr>
                <w:webHidden/>
                <w:rStyle w:val="czeindeksu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4">
            <w:r>
              <w:rPr>
                <w:webHidden/>
                <w:rStyle w:val="czeindeksu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5">
            <w:r>
              <w:rPr>
                <w:webHidden/>
                <w:rStyle w:val="czeindeksu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6">
            <w:r>
              <w:rPr>
                <w:webHidden/>
                <w:rStyle w:val="czeindeksu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7">
            <w:r>
              <w:rPr>
                <w:webHidden/>
                <w:rStyle w:val="czeindeksu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8">
            <w:r>
              <w:rPr>
                <w:webHidden/>
                <w:rStyle w:val="czeindeksu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bCs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9">
            <w:r>
              <w:rPr>
                <w:webHidden/>
                <w:rStyle w:val="czeindeksu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0">
            <w:r>
              <w:rPr>
                <w:webHidden/>
                <w:rStyle w:val="czeindeksu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1">
            <w:r>
              <w:rPr>
                <w:webHidden/>
                <w:rStyle w:val="czeindeksu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2">
            <w:r>
              <w:rPr>
                <w:webHidden/>
                <w:rStyle w:val="czeindeksu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3">
            <w:r>
              <w:rPr>
                <w:webHidden/>
                <w:rStyle w:val="czeindeksu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4">
            <w:r>
              <w:rPr>
                <w:webHidden/>
                <w:rStyle w:val="czeindeksu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5">
            <w:r>
              <w:rPr>
                <w:webHidden/>
                <w:rStyle w:val="czeindeksu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6">
            <w:r>
              <w:rPr>
                <w:webHidden/>
                <w:rStyle w:val="czeindeksu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7">
            <w:r>
              <w:rPr>
                <w:webHidden/>
                <w:rStyle w:val="czeindeksu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8">
            <w:r>
              <w:rPr>
                <w:webHidden/>
                <w:rStyle w:val="czeindeksu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9">
            <w:r>
              <w:rPr>
                <w:webHidden/>
                <w:rStyle w:val="czeindeksu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u w:val="single"/>
        </w:rPr>
      </w:pPr>
      <w:r>
        <w:br w:type="column"/>
      </w:r>
      <w:bookmarkStart w:id="1" w:name="_Toc109201579"/>
      <w:r>
        <w:rPr>
          <w:u w:val="single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/>
      </w:pPr>
      <w:bookmarkStart w:id="2" w:name="_Toc109201580"/>
      <w:r>
        <w:rPr/>
        <w:t>Przedmiot i zakres opracowania</w:t>
      </w:r>
      <w:bookmarkEnd w:id="2"/>
    </w:p>
    <w:p>
      <w:pPr>
        <w:pStyle w:val="Normal"/>
        <w:rPr/>
      </w:pPr>
      <w:r>
        <w:rPr/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zakłady przemysłowe itp.</w:t>
      </w:r>
    </w:p>
    <w:p>
      <w:pPr>
        <w:pStyle w:val="Normal"/>
        <w:rPr/>
      </w:pPr>
      <w:r>
        <w:rPr/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" w:name="_Toc109201581"/>
      <w:bookmarkStart w:id="4" w:name="_Toc98235859"/>
      <w:bookmarkStart w:id="5" w:name="_Toc95894891"/>
      <w:bookmarkEnd w:id="4"/>
      <w:bookmarkEnd w:id="5"/>
      <w:r>
        <w:rPr/>
        <w:t>Oznaczenie stacji</w:t>
      </w:r>
      <w:bookmarkEnd w:id="3"/>
    </w:p>
    <w:p>
      <w:pPr>
        <w:pStyle w:val="Normal"/>
        <w:spacing w:before="0" w:after="0"/>
        <w:ind w:hanging="0"/>
        <w:rPr/>
      </w:pPr>
      <w:r>
        <w:rPr/>
        <w:t>Stacja została oznaczona za pomocą symboli literowo-cyfrowych.</w:t>
      </w:r>
    </w:p>
    <w:p>
      <w:pPr>
        <w:pStyle w:val="Normal"/>
        <w:spacing w:before="0" w:after="0"/>
        <w:ind w:hanging="0"/>
        <w:rPr/>
      </w:pPr>
      <w:r>
        <w:rPr/>
        <w:t>Znaczenie poszczególnych symboli jest następujące:</w:t>
      </w:r>
    </w:p>
    <w:p>
      <w:pPr>
        <w:pStyle w:val="Normal"/>
        <w:spacing w:before="0" w:after="0"/>
        <w:ind w:hanging="0"/>
        <w:rPr>
          <w:lang w:val="en-US"/>
        </w:rPr>
      </w:pPr>
      <w:r>
        <w:rPr/>
        <w:tab/>
      </w:r>
      <w:r>
        <w:rPr>
          <w:lang w:val="en-US"/>
        </w:rPr>
        <w:t>Przykład: ETSI 25-48</w:t>
      </w:r>
    </w:p>
    <w:p>
      <w:pPr>
        <w:pStyle w:val="Normal"/>
        <w:spacing w:lineRule="auto" w:line="276" w:before="0" w:after="0"/>
        <w:ind w:hanging="0" w:left="708"/>
        <w:rPr/>
      </w:pPr>
      <w:r>
        <w:rPr>
          <w:lang w:val="en-GB"/>
        </w:rPr>
        <w:t>ETSI</w:t>
        <w:tab/>
        <w:t xml:space="preserve">– Emiter Transformer Substation with Internal Operation. </w:t>
      </w:r>
      <w:r>
        <w:rPr/>
        <w:t>Stacja transformatorowa z wewnętrznym korytarzem obsługi;</w:t>
      </w:r>
    </w:p>
    <w:p>
      <w:pPr>
        <w:pStyle w:val="Normal"/>
        <w:spacing w:lineRule="auto" w:line="276" w:before="0" w:after="0"/>
        <w:rPr/>
      </w:pPr>
      <w:r>
        <w:rPr/>
        <w:t>25-48 – wymiary budynku 2,50m x 4,80m</w:t>
      </w:r>
    </w:p>
    <w:p>
      <w:pPr>
        <w:pStyle w:val="Nagwek11"/>
        <w:numPr>
          <w:ilvl w:val="0"/>
          <w:numId w:val="3"/>
        </w:numPr>
        <w:spacing w:before="171" w:after="171"/>
        <w:rPr/>
      </w:pPr>
      <w:bookmarkStart w:id="6" w:name="_Toc109201582"/>
      <w:bookmarkStart w:id="7" w:name="_Toc98235860"/>
      <w:bookmarkEnd w:id="7"/>
      <w:r>
        <w:rPr/>
        <w:t>Geometria oraz forma obudowy stacji transformatorowej</w:t>
      </w:r>
      <w:bookmarkEnd w:id="6"/>
    </w:p>
    <w:p>
      <w:pPr>
        <w:pStyle w:val="Normal"/>
        <w:rPr/>
      </w:pPr>
      <w:r>
        <w:rPr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/>
      </w:pPr>
      <w:r>
        <w:rPr>
          <w:b/>
          <w:sz w:val="22"/>
          <w:szCs w:val="22"/>
          <w:lang w:eastAsia="ar-SA"/>
        </w:rPr>
        <w:t>Masa nominalna projektowanych elementów ETSI 25-48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Bryła główna 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15,2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>Piwnica kablowa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6,8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Płyta dachowa </w:t>
            </w:r>
            <w:r>
              <w:rPr>
                <w:szCs w:val="24"/>
              </w:rPr>
              <w:t>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szCs w:val="24"/>
              </w:rPr>
              <w:t>4,9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b/>
                <w:szCs w:val="24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>
                <w:b/>
                <w:szCs w:val="24"/>
              </w:rPr>
              <w:t>26,9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</w:p>
    <w:p>
      <w:pPr>
        <w:pStyle w:val="BodyTextIndent3"/>
        <w:spacing w:lineRule="auto" w:line="312"/>
        <w:ind w:hanging="0" w:left="0"/>
        <w:rPr>
          <w:sz w:val="24"/>
          <w:szCs w:val="24"/>
        </w:rPr>
      </w:pPr>
      <w:r>
        <w:rPr>
          <w:b/>
          <w:sz w:val="24"/>
          <w:szCs w:val="24"/>
          <w:lang w:eastAsia="ar-SA"/>
        </w:rPr>
        <w:t>Wymiary projektowanej stacji ETSI 2,50x 4,80: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b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4800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color w:themeColor="text1" w:val="000000"/>
                <w:lang w:eastAsia="ar-SA"/>
              </w:rPr>
              <w:t>4560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2260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2500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4776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4536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2476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2236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4980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186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12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10,3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</w:tbl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agwek11"/>
        <w:numPr>
          <w:ilvl w:val="0"/>
          <w:numId w:val="3"/>
        </w:numPr>
        <w:rPr/>
      </w:pPr>
      <w:bookmarkStart w:id="8" w:name="_Toc109201583"/>
      <w:bookmarkStart w:id="9" w:name="_Toc98235861"/>
      <w:bookmarkEnd w:id="9"/>
      <w:r>
        <w:rPr/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0" w:name="_Toc98235862"/>
      <w:r>
        <w:rPr/>
        <w:t>D</w:t>
      </w:r>
      <w:bookmarkEnd w:id="10"/>
      <w:r>
        <w:rPr/>
        <w:t>ach</w:t>
      </w:r>
    </w:p>
    <w:p>
      <w:pPr>
        <w:pStyle w:val="Normal"/>
        <w:rPr/>
      </w:pPr>
      <w:r>
        <w:rPr/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/>
      </w:pPr>
      <w:r>
        <w:rPr/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1" w:name="_Toc98235863"/>
      <w:bookmarkEnd w:id="11"/>
      <w:r>
        <w:rPr/>
        <w:t>Bryła główna</w:t>
      </w:r>
    </w:p>
    <w:p>
      <w:pPr>
        <w:pStyle w:val="Normal"/>
        <w:rPr/>
      </w:pPr>
      <w:r>
        <w:rPr/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/>
      </w:pPr>
      <w:r>
        <w:rPr/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/>
      </w:pPr>
      <w:r>
        <w:rPr/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/>
      </w:pPr>
      <w:r>
        <w:rPr/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2" w:name="_Toc98235864"/>
      <w:bookmarkEnd w:id="12"/>
      <w:r>
        <w:rPr/>
        <w:t>Piwnica kablowa</w:t>
      </w:r>
    </w:p>
    <w:p>
      <w:pPr>
        <w:pStyle w:val="Normal"/>
        <w:rPr/>
      </w:pPr>
      <w:r>
        <w:rPr/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/>
      </w:pPr>
      <w:r>
        <w:rPr/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/>
      </w:pPr>
      <w:r>
        <w:rPr/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/>
      </w:pPr>
      <w:r>
        <w:rPr/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/>
      </w:pPr>
      <w:r>
        <w:rPr/>
        <w:t>2x przepust bateryjny Fe/Zn 10x75 – dla kabli nN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>Warunki gruntowo-wodne</w:t>
      </w:r>
    </w:p>
    <w:p>
      <w:pPr>
        <w:pStyle w:val="Normal"/>
        <w:rPr/>
      </w:pPr>
      <w:r>
        <w:rPr/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/>
      </w:pPr>
      <w:r>
        <w:rPr/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3" w:name="_Toc98235865"/>
      <w:bookmarkEnd w:id="13"/>
      <w:r>
        <w:rPr/>
        <w:t>Posadowienie na gruncie</w:t>
      </w:r>
    </w:p>
    <w:p>
      <w:pPr>
        <w:pStyle w:val="Normal"/>
        <w:rPr/>
      </w:pPr>
      <w:r>
        <w:rPr/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/>
      </w:pPr>
      <w:r>
        <w:rPr/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/>
      </w:pPr>
      <w:r>
        <w:rPr/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4" w:name="_Toc109201584"/>
      <w:bookmarkStart w:id="15" w:name="_Toc98235866"/>
      <w:bookmarkEnd w:id="15"/>
      <w:r>
        <w:rPr/>
        <w:t>Wytyczne wykonania, podnoszenia, transportu oraz montażu</w:t>
      </w:r>
      <w:bookmarkEnd w:id="14"/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6" w:name="_Toc98235868"/>
      <w:r>
        <w:rPr/>
        <w:t>Podnoszenie składowanie i transport</w:t>
      </w:r>
      <w:bookmarkEnd w:id="16"/>
      <w:r>
        <w:rPr/>
        <w:t xml:space="preserve"> elementów obudowy</w:t>
      </w:r>
    </w:p>
    <w:p>
      <w:pPr>
        <w:pStyle w:val="Normal"/>
        <w:rPr/>
      </w:pPr>
      <w:r>
        <w:rPr/>
        <w:t xml:space="preserve">Elementy obudowy należy podnosić i transportować przy użyciu dźwigu lub suwnicy </w:t>
      </w:r>
    </w:p>
    <w:p>
      <w:pPr>
        <w:pStyle w:val="Normal"/>
        <w:rPr/>
      </w:pPr>
      <w:r>
        <w:rPr/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/>
      </w:pPr>
      <w:r>
        <w:rPr/>
        <w:t>Elementy obudowy składować należy na terenie płaskim, utwardzonym.</w:t>
      </w:r>
    </w:p>
    <w:p>
      <w:pPr>
        <w:pStyle w:val="BodyText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7" w:name="_Toc98235869"/>
      <w:bookmarkEnd w:id="17"/>
      <w:r>
        <w:rPr/>
        <w:t>Opis montażu</w:t>
      </w:r>
    </w:p>
    <w:p>
      <w:pPr>
        <w:pStyle w:val="Normal"/>
        <w:rPr/>
      </w:pPr>
      <w:r>
        <w:rPr/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/>
      </w:pPr>
      <w:r>
        <w:rPr/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/>
      </w:pPr>
      <w:r>
        <w:rPr/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/>
      </w:pPr>
      <w:r>
        <w:rPr/>
        <w:t>Podobnie ma się sytuacja w odniesieniu dla podłogi, przy czym tutaj podpory stanowią ściany po długości elementu piwnicy.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8" w:name="_Toc98235870"/>
      <w:bookmarkEnd w:id="18"/>
      <w:r>
        <w:rPr/>
        <w:t>Zasady bezpieczeństwa</w:t>
      </w:r>
    </w:p>
    <w:p>
      <w:pPr>
        <w:pStyle w:val="Normal"/>
        <w:rPr/>
      </w:pPr>
      <w:r>
        <w:rPr/>
        <w:t xml:space="preserve"> </w:t>
      </w:r>
      <w:r>
        <w:rPr/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/>
      </w:pPr>
      <w:r>
        <w:rPr/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9" w:name="_Toc109201585"/>
      <w:bookmarkStart w:id="20" w:name="_Toc98235871"/>
      <w:bookmarkEnd w:id="20"/>
      <w:r>
        <w:rPr/>
        <w:t>Odporność pożarowa i lokalizacja stacji na działce</w:t>
      </w:r>
      <w:bookmarkEnd w:id="19"/>
    </w:p>
    <w:p>
      <w:pPr>
        <w:pStyle w:val="Normal"/>
        <w:ind w:hanging="0"/>
        <w:rPr/>
      </w:pPr>
      <w:r>
        <w:rPr/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/>
      </w:pPr>
      <w:r>
        <w:rPr/>
        <w:t>Wytrzymałość ogniowa obudowy stacji</w:t>
      </w:r>
    </w:p>
    <w:p>
      <w:pPr>
        <w:pStyle w:val="Normal"/>
        <w:rPr/>
      </w:pPr>
      <w:r>
        <w:rPr>
          <w:rFonts w:eastAsia="Symbol" w:cs="Symbol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/>
      </w:pPr>
      <w:r>
        <w:rPr>
          <w:rFonts w:eastAsia="Symbol"/>
        </w:rPr>
        <w:t>Elementy obudowy posiadają klasę odporności ogniowej odpowiednio do ich klasy odporności pożarowej i nierozprzestrzeniają ognia - ściana boczna (bez kraty wentylacyjnej) i dach – REI 120.</w:t>
      </w:r>
    </w:p>
    <w:p>
      <w:pPr>
        <w:pStyle w:val="Normal"/>
        <w:rPr/>
      </w:pPr>
      <w:r>
        <w:rPr/>
        <w:t>Drzwi w ścianie frontowej (do komór transformatorów oraz do przedziału obsługi wewnętrznej) są stalowe, płaszczowe i mogą być wykonane w wersji posiadającej odporność ogniową do EI 120. Z kolei kraty wentylacyjne w ścianach bocznych i tylnej mogą posiadać klapy ppoż. o odporności ogniowej do EI 120.</w:t>
      </w:r>
    </w:p>
    <w:p>
      <w:pPr>
        <w:pStyle w:val="Normal"/>
        <w:rPr>
          <w:rFonts w:eastAsia="Symbol" w:cs="Symbol"/>
        </w:rPr>
      </w:pPr>
      <w:r>
        <w:rPr>
          <w:rFonts w:eastAsia="Symbol" w:cs="Symbol"/>
        </w:rPr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/>
      </w:pPr>
      <w:bookmarkStart w:id="21" w:name="_Toc109201586"/>
      <w:r>
        <w:rPr>
          <w:u w:val="single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/>
      </w:pPr>
      <w:bookmarkStart w:id="22" w:name="_Toc109201587"/>
      <w:r>
        <w:rPr/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3" w:name="_Toc98235873"/>
      <w:bookmarkEnd w:id="23"/>
      <w:r>
        <w:rPr/>
        <w:t>Wstęp</w:t>
      </w:r>
    </w:p>
    <w:p>
      <w:pPr>
        <w:pStyle w:val="Normal"/>
        <w:rPr/>
      </w:pPr>
      <w:r>
        <w:rPr/>
        <w:t xml:space="preserve">Projektuje się kontenerową stację transformatorową z obsługą wewnętrzną, </w:t>
        <w:br/>
        <w:t>typu ETSI 2,5 x 4,8 z transformatorem 15,75/0,8 kV o mocy 1000 kVA.</w:t>
      </w:r>
    </w:p>
    <w:p>
      <w:pPr>
        <w:pStyle w:val="Normal"/>
        <w:ind w:hanging="0"/>
        <w:rPr/>
      </w:pPr>
      <w:r>
        <w:rPr/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8" w:name="_Toc98235875"/>
      <w:bookmarkEnd w:id="28"/>
      <w:r>
        <w:rPr/>
        <w:t>Rozdzielnica średniego napięcia</w:t>
      </w:r>
    </w:p>
    <w:p>
      <w:pPr>
        <w:pStyle w:val="Normal"/>
        <w:rPr/>
      </w:pPr>
      <w:r>
        <w:rPr/>
        <w:t xml:space="preserve">W stacji zastosowano 3-polową rozdzielnicę SN typu EMVS </w:t>
      </w:r>
      <w:r>
        <w:rPr/>
        <w:t>ECO</w:t>
      </w:r>
      <w:r>
        <w:rPr/>
        <w:t xml:space="preserve"> produkcji Emiter </w:t>
        <w:br/>
        <w:t xml:space="preserve">z aparaturą łączeniową w izolacji </w:t>
      </w:r>
      <w:r>
        <w:rPr/>
        <w:t xml:space="preserve">czystego powietrza -bez </w:t>
      </w:r>
      <w:r>
        <w:rPr/>
        <w:t>gazu SF</w:t>
      </w:r>
      <w:r>
        <w:rPr>
          <w:vertAlign w:val="subscript"/>
        </w:rPr>
        <w:t>6</w:t>
      </w:r>
      <w:r>
        <w:rPr/>
        <w:t xml:space="preserve">  -o konfiguracji:</w:t>
      </w:r>
    </w:p>
    <w:p>
      <w:pPr>
        <w:pStyle w:val="Normal"/>
        <w:spacing w:before="0" w:after="0"/>
        <w:rPr/>
      </w:pPr>
      <w:r>
        <w:rPr/>
        <w:t xml:space="preserve">-   1x pole liniowe. </w:t>
      </w:r>
    </w:p>
    <w:p>
      <w:pPr>
        <w:pStyle w:val="Normal"/>
        <w:spacing w:before="0" w:after="0"/>
        <w:rPr/>
      </w:pPr>
      <w:r>
        <w:rPr/>
        <w:t>-   1x pole pomiarowe.</w:t>
      </w:r>
    </w:p>
    <w:p>
      <w:pPr>
        <w:pStyle w:val="Normal"/>
        <w:spacing w:before="0" w:after="0"/>
        <w:rPr/>
      </w:pPr>
      <w:r>
        <w:rPr/>
        <w:t>-   1x pole transformatorowe (wyłącznikowe).</w:t>
      </w:r>
    </w:p>
    <w:p>
      <w:pPr>
        <w:pStyle w:val="Normal"/>
        <w:ind w:hanging="0"/>
        <w:rPr/>
      </w:pPr>
      <w:r>
        <w:rPr/>
        <w:t>Wymiary rozdzielnicy SN: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Szerokość - </w:t>
        <w:tab/>
        <w:t>2</w:t>
      </w:r>
      <w:r>
        <w:rPr>
          <w:color w:val="000000"/>
          <w:szCs w:val="24"/>
        </w:rPr>
        <w:t>0</w:t>
      </w:r>
      <w:r>
        <w:rPr>
          <w:color w:val="000000"/>
          <w:szCs w:val="24"/>
        </w:rPr>
        <w:t>00 mm.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Głębokość - </w:t>
        <w:tab/>
      </w:r>
      <w:r>
        <w:rPr>
          <w:color w:val="000000"/>
          <w:szCs w:val="24"/>
        </w:rPr>
        <w:t>1120</w:t>
      </w:r>
      <w:r>
        <w:rPr>
          <w:color w:val="000000"/>
          <w:szCs w:val="24"/>
        </w:rPr>
        <w:t xml:space="preserve"> mm.</w:t>
      </w:r>
    </w:p>
    <w:p>
      <w:pPr>
        <w:pStyle w:val="Normal"/>
        <w:rPr/>
      </w:pPr>
      <w:r>
        <w:rPr/>
        <w:t xml:space="preserve">Rozdzielnica SN jest wyposażona w rozłącznik i odłącznik z napędem ręcznym </w:t>
        <w:br/>
        <w:t>oraz wyłącznik z napędem silnikowym. W polu pomiarowym znajdują się 3 szt przekładników napięciowych i 3szt przekładników prądowych.</w:t>
      </w:r>
    </w:p>
    <w:p>
      <w:pPr>
        <w:pStyle w:val="Normal"/>
        <w:rPr/>
      </w:pPr>
      <w:r>
        <w:rPr/>
        <w:t>Połączenie rozdzielnicy z transformatorem wykonano kablem 3xYHAKXS 1x70 mm</w:t>
      </w:r>
      <w:r>
        <w:rPr>
          <w:vertAlign w:val="superscript"/>
        </w:rPr>
        <w:t>2</w:t>
      </w:r>
      <w:r>
        <w:rPr/>
        <w:t>. Szczegółowe dane rozdzielnicy SN, znajdują się  w dokumentacji techniczno ruchowej rozdzielnicy SN. W polu transformatorowym zastosowano głowice CHE-I.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9" w:name="_Toc95894905"/>
      <w:bookmarkStart w:id="30" w:name="_Toc98235876"/>
      <w:bookmarkEnd w:id="29"/>
      <w:bookmarkEnd w:id="30"/>
      <w:r>
        <w:rPr/>
        <w:t>Rozdzielnica niskiego napięcia</w:t>
      </w:r>
    </w:p>
    <w:p>
      <w:pPr>
        <w:pStyle w:val="Normal"/>
        <w:rPr/>
      </w:pPr>
      <w:r>
        <w:rPr/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/>
      </w:pPr>
      <w:r>
        <w:rPr/>
        <w:t>Wymiary rozdzielnicy RNTw  wynoszą:</w:t>
      </w:r>
    </w:p>
    <w:p>
      <w:pPr>
        <w:pStyle w:val="Normal"/>
        <w:spacing w:before="0" w:after="0"/>
        <w:rPr/>
      </w:pPr>
      <w:r>
        <w:rPr/>
        <w:t xml:space="preserve">- Szerokość - </w:t>
        <w:tab/>
        <w:t>1700 mm</w:t>
      </w:r>
    </w:p>
    <w:p>
      <w:pPr>
        <w:pStyle w:val="Normal"/>
        <w:spacing w:before="0" w:after="0"/>
        <w:rPr/>
      </w:pPr>
      <w:r>
        <w:rPr/>
        <w:t xml:space="preserve">- Wysokość - </w:t>
        <w:tab/>
        <w:t>2000 mm</w:t>
      </w:r>
    </w:p>
    <w:p>
      <w:pPr>
        <w:pStyle w:val="Normal"/>
        <w:spacing w:before="0" w:after="0"/>
        <w:rPr/>
      </w:pPr>
      <w:r>
        <w:rPr/>
        <w:t xml:space="preserve">- Głębokość - </w:t>
        <w:tab/>
        <w:t>450 mm</w:t>
      </w:r>
    </w:p>
    <w:p>
      <w:pPr>
        <w:pStyle w:val="Normal"/>
        <w:spacing w:before="0" w:after="0"/>
        <w:ind w:hanging="0"/>
        <w:rPr/>
      </w:pPr>
      <w:r>
        <w:rPr/>
      </w:r>
    </w:p>
    <w:p>
      <w:pPr>
        <w:pStyle w:val="Normal"/>
        <w:spacing w:before="0" w:after="0"/>
        <w:ind w:hanging="0"/>
        <w:rPr/>
      </w:pPr>
      <w:r>
        <w:rPr/>
        <w:t>W rozdzielnicy RNTw, jako aparat główny zastosowano wyłącznik 1000A 3P.</w:t>
      </w:r>
    </w:p>
    <w:p>
      <w:pPr>
        <w:pStyle w:val="Normal"/>
        <w:spacing w:before="0" w:after="0"/>
        <w:ind w:hanging="0"/>
        <w:rPr/>
      </w:pPr>
      <w:r>
        <w:rPr/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9 x rozłącznik bezpiecznikowy listwowy NH-3.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1 x rozłącznik bezpiecznikowy listwowy NH-2 (zabezpieczenie ogranicznika przepięć).</w:t>
      </w:r>
    </w:p>
    <w:p>
      <w:pPr>
        <w:pStyle w:val="ListParagraph"/>
        <w:spacing w:before="0" w:after="0"/>
        <w:ind w:hanging="0" w:left="720"/>
        <w:contextualSpacing/>
        <w:rPr/>
      </w:pPr>
      <w:r>
        <w:rPr/>
      </w:r>
    </w:p>
    <w:p>
      <w:pPr>
        <w:pStyle w:val="Normal"/>
        <w:spacing w:before="0" w:after="0"/>
        <w:ind w:hanging="0" w:left="360"/>
        <w:rPr/>
      </w:pPr>
      <w:r>
        <w:rPr/>
        <w:t>W rozdzielnicy zastosowano wyłącznik oraz most szynowy przystosowany do przeniesienia 1000A.</w:t>
      </w:r>
    </w:p>
    <w:p>
      <w:pPr>
        <w:pStyle w:val="Normal"/>
        <w:rPr/>
      </w:pPr>
      <w:r>
        <w:rPr/>
        <w:t>Połączenie rozdzielnicy z transformatorem wykonano kablami 3x(</w:t>
      </w:r>
      <w:r>
        <w:rPr>
          <w:color w:val="auto"/>
        </w:rPr>
        <w:t>2xYKY 1x240</w:t>
      </w:r>
      <w:r>
        <w:rPr/>
        <w:t xml:space="preserve"> mm</w:t>
      </w:r>
      <w:r>
        <w:rPr>
          <w:vertAlign w:val="superscript"/>
        </w:rPr>
        <w:t>2</w:t>
      </w:r>
      <w:r>
        <w:rPr/>
        <w:t>). Rozdzielnica w wykonaniu standardowym przystosowana jest do pracy w układzie  TN-C.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/>
      </w:pPr>
      <w:r>
        <w:rPr>
          <w:b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1000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krótkotrwały wytrzymywany (I</w:t>
            </w:r>
            <w:r>
              <w:rPr>
                <w:vertAlign w:val="subscript"/>
              </w:rPr>
              <w:t>cw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szczytowy wytrzymywany (I</w:t>
            </w:r>
            <w:r>
              <w:rPr>
                <w:vertAlign w:val="subscript"/>
              </w:rPr>
              <w:t>pk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</w:rPr>
      </w:pPr>
      <w:r>
        <w:rPr>
          <w:b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1" w:name="_Toc95894906"/>
      <w:bookmarkStart w:id="32" w:name="_Toc98235877"/>
      <w:bookmarkEnd w:id="31"/>
      <w:bookmarkEnd w:id="32"/>
      <w:r>
        <w:rPr/>
        <w:t>Komora transformatora</w:t>
      </w:r>
    </w:p>
    <w:p>
      <w:pPr>
        <w:pStyle w:val="Normal"/>
        <w:rPr/>
      </w:pPr>
      <w:r>
        <w:rPr/>
        <w:t xml:space="preserve">W stacji przewiduje się montaż transformatora w wykonaniu fabrycznym o mocy </w:t>
        <w:br/>
        <w:t xml:space="preserve">do 1000 kVA. Transformator jest wstawiany przez drzwi lub dach i zabezpieczony </w:t>
        <w:br/>
        <w:t xml:space="preserve">przed przesuwaniem </w:t>
      </w:r>
      <w:r>
        <w:rPr>
          <w:rFonts w:eastAsia="Symbol" w:cs="Symbol"/>
        </w:rPr>
        <w:t>poprzez podkładki wibroizolacyjne</w:t>
      </w:r>
      <w:r>
        <w:rPr/>
        <w:t>.</w:t>
      </w:r>
    </w:p>
    <w:p>
      <w:pPr>
        <w:pStyle w:val="Normal"/>
        <w:rPr/>
      </w:pPr>
      <w:r>
        <w:rPr/>
        <w:t xml:space="preserve">Komora transformatora oddzielona jest od pomieszczenia ruchu elektrycznego (wspólny korytarz obsługi rozdzielnicy nN i SN) </w:t>
      </w:r>
      <w:r>
        <w:rPr>
          <w:color w:val="000000"/>
        </w:rPr>
        <w:t>ścianką z blachy perforowanej</w:t>
      </w:r>
      <w:r>
        <w:rPr/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3" w:name="_Toc98235878"/>
      <w:bookmarkEnd w:id="33"/>
      <w:r>
        <w:rPr/>
        <w:t>Instalacje elektryczne stacji</w:t>
      </w:r>
    </w:p>
    <w:p>
      <w:pPr>
        <w:pStyle w:val="Normal"/>
        <w:rPr/>
      </w:pPr>
      <w:r>
        <w:rPr/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/>
      </w:pPr>
      <w:r>
        <w:rPr/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/>
      </w:pPr>
      <w:r>
        <w:rPr/>
        <w:t>2 x oprawa pyłoszczelna 2x36W (w przedziale obsługi wewnętrznej).</w:t>
      </w:r>
    </w:p>
    <w:p>
      <w:pPr>
        <w:pStyle w:val="Normal"/>
        <w:ind w:hanging="0"/>
        <w:rPr/>
      </w:pPr>
      <w:r>
        <w:rPr/>
        <w:t>Oświetlenie stacji załączane i wyłączane jest poprzez łączniki umieszczone przy drzwiach.</w:t>
      </w:r>
    </w:p>
    <w:p>
      <w:pPr>
        <w:pStyle w:val="Normal"/>
        <w:ind w:hanging="0"/>
        <w:rPr/>
      </w:pPr>
      <w:r>
        <w:rPr/>
        <w:t>Gniazdo jednofazowe zainstalowane jest obok rozdzielnicy nN.</w:t>
      </w:r>
    </w:p>
    <w:p>
      <w:pPr>
        <w:pStyle w:val="Normal"/>
        <w:ind w:hanging="0"/>
        <w:rPr/>
      </w:pPr>
      <w:r>
        <w:rPr/>
        <w:t>Zabezpieczenia obwodów potrzeb własnych stacji zainstalowane są w rozdzielnicy nN.</w:t>
      </w:r>
    </w:p>
    <w:p>
      <w:pPr>
        <w:pStyle w:val="Normal"/>
        <w:ind w:hanging="0"/>
        <w:rPr/>
      </w:pPr>
      <w:r>
        <w:rPr/>
        <w:t>Oprawy oświetleniowe zasilane są przewodami DY 3x1,5 mm2.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4" w:name="_Toc98235879"/>
      <w:bookmarkEnd w:id="34"/>
      <w:r>
        <w:rPr/>
        <w:t>Uziemienie stacji transformatorowej</w:t>
      </w:r>
    </w:p>
    <w:p>
      <w:pPr>
        <w:pStyle w:val="Normal"/>
        <w:rPr/>
      </w:pPr>
      <w:r>
        <w:rPr/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/>
      </w:pPr>
      <w:r>
        <w:rPr/>
        <w:t>W stacji do głównej magistrali podłączono: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SN w dwóch punktach – linką minimum 50 [mm</w:t>
      </w:r>
      <w:r>
        <w:rPr>
          <w:vertAlign w:val="superscript"/>
        </w:rPr>
        <w:t>2</w:t>
      </w:r>
      <w:r>
        <w:rPr/>
        <w:t>] lub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Kadź transformatora – linką minimum 35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Dach stacji w dwóch punktach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Futryny, drzwi –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Uziemienie funkcjonalne -  bednarką Fe/Zn 40x5 [mm].</w:t>
      </w:r>
    </w:p>
    <w:p>
      <w:pPr>
        <w:pStyle w:val="Normal"/>
        <w:rPr>
          <w:szCs w:val="24"/>
          <w:lang w:eastAsia="pl-PL"/>
        </w:rPr>
      </w:pPr>
      <w:r>
        <w:rPr>
          <w:szCs w:val="24"/>
          <w:lang w:eastAsia="pl-PL"/>
        </w:rPr>
      </w:r>
    </w:p>
    <w:p>
      <w:pPr>
        <w:pStyle w:val="Normal"/>
        <w:rPr/>
      </w:pPr>
      <w:r>
        <w:rPr>
          <w:szCs w:val="24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/>
      </w:pPr>
      <w:r>
        <w:rPr/>
        <w:t xml:space="preserve">Po połączeniu uziomu z instalacją uziemiającą stacji należy wykonać pomiar rezystancji uziemienia. </w:t>
      </w:r>
    </w:p>
    <w:p>
      <w:pPr>
        <w:pStyle w:val="Normal"/>
        <w:ind w:hanging="0"/>
        <w:rPr/>
      </w:pPr>
      <w:r>
        <w:rPr/>
        <w:t>Niniejszy projekt nie obejmuje uziemienia zewnętrznego stacji transformatorowej.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 xml:space="preserve"> </w:t>
      </w:r>
      <w:r>
        <w:rPr/>
        <w:t>Ochrona przed przepięciami</w:t>
      </w:r>
    </w:p>
    <w:p>
      <w:pPr>
        <w:pStyle w:val="Normal"/>
        <w:ind w:hanging="0"/>
        <w:rPr/>
      </w:pPr>
      <w:r>
        <w:rPr/>
        <w:tab/>
        <w:t>Obudowa stacji nie będzie chroniona od bezpośrednich wyładowań atmosferycznych.</w:t>
      </w:r>
    </w:p>
    <w:p>
      <w:pPr>
        <w:pStyle w:val="Normal"/>
        <w:ind w:hanging="0"/>
        <w:rPr/>
      </w:pPr>
      <w:r>
        <w:rPr/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/>
      </w:pPr>
      <w:r>
        <w:rPr/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5" w:name="_Toc98235881"/>
      <w:bookmarkEnd w:id="35"/>
      <w:r>
        <w:rPr/>
        <w:t xml:space="preserve">  </w:t>
      </w:r>
      <w:r>
        <w:rPr/>
        <w:t>Obsługa stacji</w:t>
      </w:r>
    </w:p>
    <w:p>
      <w:pPr>
        <w:pStyle w:val="Normal"/>
        <w:rPr/>
      </w:pPr>
      <w:r>
        <w:rPr/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</w:rPr>
        <w:t>Uwagi końcowe:</w:t>
      </w:r>
      <w:bookmarkEnd w:id="36"/>
    </w:p>
    <w:p>
      <w:pPr>
        <w:pStyle w:val="Normal"/>
        <w:rPr/>
      </w:pPr>
      <w:r>
        <w:rPr/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/>
      </w:pPr>
      <w:r>
        <w:rPr>
          <w:rFonts w:eastAsia="Symbol" w:cs="Symbol"/>
          <w:b/>
        </w:rPr>
        <w:t>Niniejszy projekt podlega adaptacji do warunków terenowych i technicznych.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BodyText"/>
        <w:jc w:val="center"/>
        <w:rPr>
          <w:lang w:val="en-US"/>
        </w:rPr>
      </w:pPr>
      <w:r>
        <w:rPr>
          <w:b/>
          <w:bCs/>
          <w:lang w:val="en-US"/>
        </w:rPr>
        <w:t xml:space="preserve">EMITER </w:t>
      </w:r>
      <w:r>
        <w:rPr>
          <w:rStyle w:val="czeinternetoweuser"/>
          <w:b/>
          <w:bCs/>
          <w:vanish/>
          <w:lang w:val="en-US"/>
        </w:rPr>
        <w:t>wwww</w:t>
      </w:r>
    </w:p>
    <w:p>
      <w:pPr>
        <w:pStyle w:val="BodyText"/>
        <w:jc w:val="center"/>
        <w:rPr>
          <w:lang w:val="en-US"/>
        </w:rPr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w</w:t>
        </w:r>
      </w:hyperlink>
      <w:r>
        <w:rPr>
          <w:rStyle w:val="czeinternetoweuser"/>
          <w:b/>
          <w:bCs/>
          <w:lang w:val="en-US"/>
        </w:rPr>
        <w:t>www.emiter.com</w:t>
      </w:r>
      <w:r>
        <w:rPr>
          <w:b/>
          <w:bCs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/>
      </w:pPr>
      <w:bookmarkStart w:id="38" w:name="_Toc109201589"/>
      <w:bookmarkStart w:id="39" w:name="_Toc98235883"/>
      <w:bookmarkEnd w:id="39"/>
      <w:r>
        <w:rPr/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0" w:name="_Ref531700092"/>
      <w:bookmarkEnd w:id="40"/>
      <w:r>
        <w:rPr/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1" w:name="_Ref531765692"/>
      <w:bookmarkEnd w:id="41"/>
      <w:r>
        <w:rPr/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/>
      </w:pPr>
      <w:r>
        <w:rPr/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/>
      </w:pPr>
      <w:bookmarkStart w:id="42" w:name="_Toc109201590"/>
      <w:bookmarkStart w:id="43" w:name="_Toc98235884"/>
      <w:bookmarkEnd w:id="43"/>
      <w:r>
        <w:rPr/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rStyle w:val="Strong"/>
          <w:b/>
          <w:bCs w:val="false"/>
        </w:rPr>
      </w:pPr>
      <w:r>
        <w:rPr>
          <w:b/>
          <w:bCs w:val="false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7"/>
      <w:bookmarkEnd w:id="49"/>
      <w:r>
        <w:rPr>
          <w:rStyle w:val="Strong"/>
          <w:rFonts w:eastAsia="Symbol" w:cs="Symbol"/>
          <w:b w:val="false"/>
          <w:bCs w:val="false"/>
        </w:rPr>
        <w:t>Dach</w:t>
      </w:r>
      <w:bookmarkEnd w:id="50"/>
      <w:r>
        <w:rPr>
          <w:rStyle w:val="Strong"/>
          <w:rFonts w:eastAsia="Symbol" w:cs="Symbol"/>
          <w:b w:val="false"/>
          <w:bCs w:val="false"/>
        </w:rPr>
        <w:t xml:space="preserve"> stacji – rzuty.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Style w:val="Strong"/>
          <w:rFonts w:eastAsia="Symbol" w:cs="Symbol"/>
          <w:b w:val="false"/>
          <w:bCs w:val="false"/>
        </w:rPr>
      </w:pPr>
      <w:r>
        <w:rPr>
          <w:rFonts w:eastAsia="Symbol" w:cs="Symbol"/>
          <w:b w:val="false"/>
          <w:bCs w:val="false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1" w:name="_Toc109201598"/>
      <w:r>
        <w:rPr>
          <w:rStyle w:val="Strong"/>
          <w:b w:val="false"/>
          <w:bCs w:val="false"/>
        </w:rPr>
        <w:t>Schemat elektryczny</w:t>
      </w:r>
      <w:bookmarkEnd w:id="51"/>
      <w:r>
        <w:rPr>
          <w:rStyle w:val="Strong"/>
          <w:b w:val="false"/>
          <w:bCs w:val="false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>
          <w:rStyle w:val="Strong"/>
          <w:b/>
          <w:bCs w:val="false"/>
        </w:rPr>
      </w:pPr>
      <w:bookmarkStart w:id="52" w:name="_Toc109201599"/>
      <w:r>
        <w:rPr>
          <w:rStyle w:val="Strong"/>
          <w:b w:val="false"/>
          <w:bCs w:val="false"/>
        </w:rPr>
        <w:t>Rozdzielnica SN</w:t>
      </w:r>
      <w:bookmarkEnd w:id="52"/>
      <w:r>
        <w:rPr>
          <w:rStyle w:val="Strong"/>
          <w:b w:val="false"/>
          <w:bCs w:val="false"/>
        </w:rPr>
        <w:t xml:space="preserve"> - elewacje.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</w:rPr>
        <w:t>Rozdzielnica nN - elewacje.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/>
      </w:pPr>
      <w:r>
        <w:rPr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>ETSI 25-48 1000 kVA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>ETSI 25-48 1000 kVA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Application>LibreOffice/25.2.7.2$Windows_X86_64 LibreOffice_project/5cbfd1ab6520636bb5f7b99185aa69bd7456825d</Application>
  <AppVersion>15.0000</AppVersion>
  <DocSecurity>0</DocSecurity>
  <Pages>15</Pages>
  <Words>2890</Words>
  <Characters>18588</Characters>
  <CharactersWithSpaces>21409</CharactersWithSpaces>
  <Paragraphs>266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2023-11-29T09:39:00Z</dcterms:created>
  <dc:creator>Marek</dc:creator>
  <dc:description/>
  <dc:language>pl-PL</dc:language>
  <cp:lastModifiedBy/>
  <cp:lastPrinted>2022-05-10T06:53:00Z</cp:lastPrinted>
  <dcterms:modified xsi:type="dcterms:W3CDTF">2026-02-11T13:39:23Z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